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450" w:lineRule="atLeast"/>
        <w:jc w:val="center"/>
        <w:textAlignment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沈阳科技学院</w:t>
      </w:r>
      <w:r>
        <w:rPr>
          <w:rFonts w:ascii="仿宋" w:hAnsi="仿宋" w:eastAsia="仿宋"/>
          <w:b/>
          <w:sz w:val="44"/>
          <w:szCs w:val="44"/>
        </w:rPr>
        <w:t>202</w:t>
      </w:r>
      <w:r>
        <w:rPr>
          <w:rFonts w:hint="eastAsia" w:ascii="仿宋" w:hAnsi="仿宋" w:eastAsia="仿宋"/>
          <w:b/>
          <w:sz w:val="44"/>
          <w:szCs w:val="44"/>
        </w:rPr>
        <w:t>2年度教师招聘计划</w:t>
      </w:r>
    </w:p>
    <w:p>
      <w:pPr>
        <w:pStyle w:val="5"/>
        <w:spacing w:line="240" w:lineRule="atLeast"/>
        <w:jc w:val="center"/>
        <w:textAlignment w:val="center"/>
        <w:rPr>
          <w:rFonts w:ascii="仿宋" w:hAnsi="仿宋" w:eastAsia="仿宋"/>
          <w:b/>
          <w:sz w:val="10"/>
          <w:szCs w:val="10"/>
        </w:rPr>
      </w:pPr>
    </w:p>
    <w:tbl>
      <w:tblPr>
        <w:tblStyle w:val="6"/>
        <w:tblW w:w="153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1927"/>
        <w:gridCol w:w="2693"/>
        <w:gridCol w:w="1276"/>
        <w:gridCol w:w="1842"/>
        <w:gridCol w:w="2127"/>
        <w:gridCol w:w="1701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11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学院（部门）</w:t>
            </w:r>
          </w:p>
        </w:tc>
        <w:tc>
          <w:tcPr>
            <w:tcW w:w="1927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岗位名称</w:t>
            </w:r>
          </w:p>
        </w:tc>
        <w:tc>
          <w:tcPr>
            <w:tcW w:w="2693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专业方向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招聘计划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招聘条件</w:t>
            </w:r>
          </w:p>
        </w:tc>
        <w:tc>
          <w:tcPr>
            <w:tcW w:w="1734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1927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1842" w:type="dxa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学历学位要求</w:t>
            </w:r>
          </w:p>
        </w:tc>
        <w:tc>
          <w:tcPr>
            <w:tcW w:w="2127" w:type="dxa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工作经验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其他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2011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化学工程系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制药工程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本硕均为制药工程相关专业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信息与控制工程系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计算机科学与技术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本硕均为计算机科学与技术相关专业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电气工程及其自动化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本硕均为电气工程及其自动化相关专业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智能科学与技术专任教师</w:t>
            </w:r>
          </w:p>
        </w:tc>
        <w:tc>
          <w:tcPr>
            <w:tcW w:w="2693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本硕均为智能科学与技术相关专业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应届生可报名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信息与控制工系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物联网工程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本硕均为物联网工程等相关专业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应届生可报名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机械与交通工程系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机械设计制造及自动化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本硕均为机械设计制造及自动化相关专业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智能制造工程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本硕均为智能制造工程、机械设计制造及其自动化、工业工程、数字化制造等相关专业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工业设计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本硕均为工业设计相关专业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机器人工程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本硕均为自动化、电气工程与自动化、控制理论与控制工程等相关专业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环境与生物工程系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生物工程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本硕均为生物工程相关专业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管理系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会计学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本硕均为会计学相关专业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管理系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资产评估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本硕均为资产评估、财务管理、审计等相关专业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应届生可报名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经济系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金融学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本硕均为金融学相关专业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二学历或辅修计算机网络专业；副高级及以上职称；博士优先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互联网金融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tabs>
                <w:tab w:val="left" w:pos="312"/>
              </w:tabs>
              <w:spacing w:line="22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本科金融学专业，研究生计算机网络相关专业；或本科、研究生是金融学专业，二学历辅修计算机网络专业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具有两年以上相关行业或企业工作经验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基础部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数学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ind w:left="360" w:hanging="360" w:hangingChars="1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本硕均为基础数学、</w:t>
            </w:r>
          </w:p>
          <w:p>
            <w:pPr>
              <w:ind w:left="360" w:hanging="360" w:hangingChars="1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应用数学、统计学等</w:t>
            </w:r>
          </w:p>
          <w:p>
            <w:pPr>
              <w:ind w:left="360" w:hanging="360" w:hangingChars="1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具有两年以上相关行业或高校工作经验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物理</w:t>
            </w:r>
          </w:p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ind w:left="360" w:hanging="360" w:hangingChars="1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本硕均为理论物理、凝聚态物理、原子与分子物理、粒子物理与原子核物理、光学专业或相关专业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具有两年以上相关行业或高校工作经验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应届生可报名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基础部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ind w:left="360" w:hanging="360" w:hangingChars="1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本硕阶段所学专业</w:t>
            </w:r>
          </w:p>
          <w:p>
            <w:pPr>
              <w:ind w:left="360" w:hanging="360" w:hangingChars="1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均为经济管理或</w:t>
            </w:r>
          </w:p>
          <w:p>
            <w:pPr>
              <w:ind w:left="360" w:hanging="360" w:hangingChars="1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熟悉高校创新创业教育，具有创新思维、具有较强的语言和文字表达能力以及组织协调能力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有指导创新创业大赛获奖或自主创业经历的优先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年龄在30周岁以下，兼创新创业中心行政工作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ind w:left="360" w:hanging="360" w:hangingChars="1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本硕阶段所学专业</w:t>
            </w:r>
          </w:p>
          <w:p>
            <w:pPr>
              <w:ind w:left="360" w:hanging="360" w:hangingChars="1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均为</w:t>
            </w:r>
            <w:r>
              <w:rPr>
                <w:rFonts w:hint="eastAsia" w:ascii="宋体" w:hAnsi="宋体"/>
                <w:sz w:val="24"/>
                <w:szCs w:val="24"/>
                <w:lang w:val="zh-TW" w:eastAsia="zh-TW"/>
              </w:rPr>
              <w:t>美术相关专业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  <w:lang w:val="zh-TW" w:eastAsia="zh-TW"/>
              </w:rPr>
              <w:t>具有</w:t>
            </w:r>
            <w:r>
              <w:rPr>
                <w:rFonts w:hint="eastAsia" w:ascii="宋体" w:hAnsi="宋体"/>
                <w:sz w:val="24"/>
                <w:szCs w:val="24"/>
                <w:lang w:val="zh-TW" w:eastAsia="zh-TW"/>
              </w:rPr>
              <w:t>两年以上高校美育教育相关工作经验优先考虑；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  <w:lang w:val="zh-TW" w:eastAsia="zh-TW"/>
              </w:rPr>
              <w:t>长期从事美术教育理论与实践指导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  <w:lang w:val="zh-TW" w:eastAsia="zh-TW"/>
              </w:rPr>
              <w:t>有市级以上专业相关获奖优先考虑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专任教师</w:t>
            </w:r>
          </w:p>
        </w:tc>
        <w:tc>
          <w:tcPr>
            <w:tcW w:w="2693" w:type="dxa"/>
            <w:vAlign w:val="center"/>
          </w:tcPr>
          <w:p>
            <w:pPr>
              <w:ind w:left="360" w:hanging="360" w:hangingChars="1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zh-TW" w:eastAsia="zh-TW"/>
              </w:rPr>
              <w:t>两年以上高校教育教学相关工作经验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  <w:lang w:val="zh-TW" w:eastAsia="zh-TW"/>
              </w:rPr>
              <w:t>从事劳动教育教学与实践指导工作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体育部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社会体育专任教师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运动人体科学、器械健身、跆拳道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应往届毕业生均可报名，有工作经验者优先考虑。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运动人体科学要求本硕专业一致；</w:t>
            </w:r>
          </w:p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跆拳道要求本硕专项一致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公共体育专任教师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体育舞蹈、乒乓球、武术、篮球、足球、排球、健美操、网球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应往届毕业生均可报名，有工作经验者优先考虑。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本硕专项一致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思政部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思想政治教育专任教师</w:t>
            </w:r>
          </w:p>
        </w:tc>
        <w:tc>
          <w:tcPr>
            <w:tcW w:w="2693" w:type="dxa"/>
            <w:vAlign w:val="center"/>
          </w:tcPr>
          <w:p>
            <w:pPr>
              <w:tabs>
                <w:tab w:val="left" w:pos="312"/>
              </w:tabs>
              <w:spacing w:line="22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本硕均为马克思主义中国化、马克思主义哲学、科学社会主义、中国共产党党史等马克思主义理论等相关专业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具有两年以上相关行业或高校工作经验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2011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学生处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心理健康教师</w:t>
            </w:r>
          </w:p>
        </w:tc>
        <w:tc>
          <w:tcPr>
            <w:tcW w:w="2693" w:type="dxa"/>
            <w:vAlign w:val="center"/>
          </w:tcPr>
          <w:p>
            <w:pPr>
              <w:tabs>
                <w:tab w:val="left" w:pos="312"/>
              </w:tabs>
              <w:spacing w:line="22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本硕均为应用心理学、临床医学、精神医学相关专业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</w:rPr>
              <w:t>硕士研究生及以上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具有两年以上心理咨询及危机干预相关工作经验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具有国家心理咨询师二级证书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副高级及以上职称优先；博士优先</w:t>
            </w:r>
          </w:p>
        </w:tc>
      </w:tr>
    </w:tbl>
    <w:p>
      <w:pPr>
        <w:pStyle w:val="5"/>
        <w:spacing w:line="450" w:lineRule="atLeast"/>
        <w:textAlignment w:val="center"/>
      </w:pPr>
      <w:bookmarkStart w:id="0" w:name="_GoBack"/>
      <w:bookmarkEnd w:id="0"/>
    </w:p>
    <w:sectPr>
      <w:pgSz w:w="16838" w:h="11906" w:orient="landscape"/>
      <w:pgMar w:top="1230" w:right="1440" w:bottom="123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